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5FC4" w14:textId="77777777" w:rsidR="00B329B1" w:rsidRDefault="00000000">
      <w:pPr>
        <w:spacing w:after="80"/>
        <w:jc w:val="center"/>
      </w:pPr>
      <w:r>
        <w:rPr>
          <w:b/>
          <w:bCs/>
          <w:sz w:val="36"/>
          <w:szCs w:val="36"/>
        </w:rPr>
        <w:t>支援プログラム</w:t>
      </w:r>
    </w:p>
    <w:p w14:paraId="2746B959" w14:textId="77777777" w:rsidR="00B329B1" w:rsidRDefault="00000000">
      <w:pPr>
        <w:spacing w:after="240"/>
        <w:jc w:val="center"/>
      </w:pPr>
      <w:r>
        <w:rPr>
          <w:b/>
          <w:bCs/>
          <w:sz w:val="28"/>
          <w:szCs w:val="28"/>
        </w:rPr>
        <w:t>（キッズランドステップアップクラス）</w:t>
      </w:r>
    </w:p>
    <w:p w14:paraId="5F414852" w14:textId="77777777" w:rsidR="00B329B1" w:rsidRDefault="00000000">
      <w:pPr>
        <w:pStyle w:val="1"/>
      </w:pPr>
      <w:r>
        <w:t>1. 基本情報</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B329B1" w14:paraId="46FDF765" w14:textId="77777777">
        <w:tc>
          <w:tcPr>
            <w:tcW w:w="20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6806C72" w14:textId="77777777" w:rsidR="00B329B1" w:rsidRDefault="00000000">
            <w:r>
              <w:rPr>
                <w:b/>
                <w:bCs/>
                <w:sz w:val="18"/>
                <w:szCs w:val="18"/>
              </w:rPr>
              <w:t>項目</w:t>
            </w:r>
          </w:p>
        </w:tc>
        <w:tc>
          <w:tcPr>
            <w:tcW w:w="763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7CD3883" w14:textId="77777777" w:rsidR="00B329B1" w:rsidRDefault="00000000">
            <w:r>
              <w:rPr>
                <w:b/>
                <w:bCs/>
                <w:sz w:val="18"/>
                <w:szCs w:val="18"/>
              </w:rPr>
              <w:t>内容</w:t>
            </w:r>
          </w:p>
        </w:tc>
      </w:tr>
      <w:tr w:rsidR="00B329B1" w14:paraId="2110AE14"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08B68F" w14:textId="77777777" w:rsidR="00B329B1" w:rsidRDefault="00000000">
            <w:r>
              <w:rPr>
                <w:sz w:val="18"/>
                <w:szCs w:val="18"/>
              </w:rPr>
              <w:t>事業所名</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504FC3" w14:textId="77777777" w:rsidR="00B329B1" w:rsidRDefault="00000000">
            <w:r>
              <w:rPr>
                <w:sz w:val="18"/>
                <w:szCs w:val="18"/>
              </w:rPr>
              <w:t>キッズランドステップアップクラス</w:t>
            </w:r>
          </w:p>
        </w:tc>
      </w:tr>
      <w:tr w:rsidR="00B329B1" w14:paraId="1D745821"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F2FEA0" w14:textId="77777777" w:rsidR="00B329B1" w:rsidRDefault="00000000">
            <w:r>
              <w:rPr>
                <w:sz w:val="18"/>
                <w:szCs w:val="18"/>
              </w:rPr>
              <w:t>作成日</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1EECEE" w14:textId="77777777" w:rsidR="00B329B1" w:rsidRDefault="00000000">
            <w:r>
              <w:rPr>
                <w:sz w:val="18"/>
                <w:szCs w:val="18"/>
              </w:rPr>
              <w:t>2026年5月31日</w:t>
            </w:r>
          </w:p>
        </w:tc>
      </w:tr>
      <w:tr w:rsidR="00B329B1" w14:paraId="6FF1459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365B286" w14:textId="77777777" w:rsidR="00B329B1" w:rsidRDefault="00000000">
            <w:r>
              <w:rPr>
                <w:sz w:val="18"/>
                <w:szCs w:val="18"/>
              </w:rPr>
              <w:t>法人（事業所）理念</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7E6B90" w14:textId="77777777" w:rsidR="00B329B1" w:rsidRDefault="00000000">
            <w:r>
              <w:rPr>
                <w:sz w:val="18"/>
                <w:szCs w:val="18"/>
              </w:rPr>
              <w:t>キッズランドステップアップクラスは、保護者の方々と一緒に「お子さんにとって一番いい方法」を考えるパートナーであることを基本姿勢としています。遊びや普段の生活を通して、一人ひとりのできることや分かることを増やし、個々に合わせた「小さな１歩」を応援することを目指しています。</w:t>
            </w:r>
          </w:p>
        </w:tc>
      </w:tr>
      <w:tr w:rsidR="00B329B1" w14:paraId="283670C1"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074FE8" w14:textId="77777777" w:rsidR="00B329B1" w:rsidRDefault="00000000">
            <w:r>
              <w:rPr>
                <w:sz w:val="18"/>
                <w:szCs w:val="18"/>
              </w:rPr>
              <w:t>支援方針</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91249D" w14:textId="77777777" w:rsidR="00B329B1" w:rsidRDefault="00000000">
            <w:r>
              <w:rPr>
                <w:sz w:val="18"/>
                <w:szCs w:val="18"/>
              </w:rPr>
              <w:t>キッズランドステップアップクラスの基本的な療育方針を基盤としつつ、専門的実施加算人員による専門的個別対応、不登校・引きこもり傾向の児童生徒への包括的支援、近隣クリニックとの連携協定による医療・福祉の連携強化に特化した専門性の高い支援を提供します。</w:t>
            </w:r>
          </w:p>
        </w:tc>
      </w:tr>
      <w:tr w:rsidR="00B329B1" w14:paraId="49C748D3"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906E29" w14:textId="77777777" w:rsidR="00B329B1" w:rsidRDefault="00000000">
            <w:r>
              <w:rPr>
                <w:sz w:val="18"/>
                <w:szCs w:val="18"/>
              </w:rPr>
              <w:t>営業時間</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DEF0C2" w14:textId="77777777" w:rsidR="00B329B1" w:rsidRDefault="00000000">
            <w:r>
              <w:rPr>
                <w:sz w:val="18"/>
                <w:szCs w:val="18"/>
              </w:rPr>
              <w:t>火曜日～土曜日　10：00～17：00</w:t>
            </w:r>
          </w:p>
        </w:tc>
      </w:tr>
      <w:tr w:rsidR="00B329B1" w14:paraId="0D4B938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419459" w14:textId="77777777" w:rsidR="00B329B1" w:rsidRDefault="00000000">
            <w:r>
              <w:rPr>
                <w:sz w:val="18"/>
                <w:szCs w:val="18"/>
              </w:rPr>
              <w:t>送迎実施の有無</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E52865" w14:textId="77777777" w:rsidR="00B329B1" w:rsidRDefault="00000000">
            <w:r>
              <w:rPr>
                <w:sz w:val="18"/>
                <w:szCs w:val="18"/>
              </w:rPr>
              <w:t>あり</w:t>
            </w:r>
          </w:p>
        </w:tc>
      </w:tr>
    </w:tbl>
    <w:p w14:paraId="27670D37" w14:textId="77777777" w:rsidR="00B329B1" w:rsidRDefault="00B329B1"/>
    <w:p w14:paraId="3772BDCA" w14:textId="77777777" w:rsidR="00B329B1" w:rsidRDefault="00000000">
      <w:pPr>
        <w:pStyle w:val="1"/>
      </w:pPr>
      <w:r>
        <w:t>2. 支援内容</w:t>
      </w:r>
    </w:p>
    <w:p w14:paraId="47E7BACF" w14:textId="77777777" w:rsidR="00B329B1" w:rsidRDefault="00000000">
      <w:pPr>
        <w:pStyle w:val="2"/>
      </w:pPr>
      <w:r>
        <w:t>2.1. 放課後等デイサービス　本人支援（5領域との関連性）</w:t>
      </w:r>
    </w:p>
    <w:p w14:paraId="1FF67B88" w14:textId="77777777" w:rsidR="00B329B1" w:rsidRDefault="00000000">
      <w:r>
        <w:rPr>
          <w:sz w:val="18"/>
          <w:szCs w:val="18"/>
        </w:rPr>
        <w:t>当事業所では、放課後等デイサービスのガイドラインに基づき、以下の5領域を網羅した包括的な支援を提供します。</w:t>
      </w:r>
    </w:p>
    <w:p w14:paraId="4DEDCC33" w14:textId="77777777" w:rsidR="00B329B1" w:rsidRDefault="00B329B1"/>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B329B1" w14:paraId="16376586" w14:textId="77777777">
        <w:tc>
          <w:tcPr>
            <w:tcW w:w="20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6BF986B" w14:textId="77777777" w:rsidR="00B329B1" w:rsidRDefault="00000000">
            <w:r>
              <w:rPr>
                <w:b/>
                <w:bCs/>
                <w:sz w:val="18"/>
                <w:szCs w:val="18"/>
              </w:rPr>
              <w:t>領域</w:t>
            </w:r>
          </w:p>
        </w:tc>
        <w:tc>
          <w:tcPr>
            <w:tcW w:w="763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F471D2E" w14:textId="77777777" w:rsidR="00B329B1" w:rsidRDefault="00000000">
            <w:r>
              <w:rPr>
                <w:b/>
                <w:bCs/>
                <w:sz w:val="18"/>
                <w:szCs w:val="18"/>
              </w:rPr>
              <w:t>支援内容</w:t>
            </w:r>
          </w:p>
        </w:tc>
      </w:tr>
      <w:tr w:rsidR="00B329B1" w14:paraId="1FE2845B"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3E8A3D" w14:textId="77777777" w:rsidR="00B329B1" w:rsidRDefault="00000000">
            <w:r>
              <w:rPr>
                <w:sz w:val="18"/>
                <w:szCs w:val="18"/>
              </w:rPr>
              <w:t>健康・生活</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4A27B8" w14:textId="77777777" w:rsidR="00B329B1" w:rsidRDefault="00000000">
            <w:r>
              <w:rPr>
                <w:sz w:val="18"/>
                <w:szCs w:val="18"/>
              </w:rPr>
              <w:t>学校に通うことが困難な児童生徒に対して心理的安全性を確保した環境（居場所）を提供し、生活リズムの構築をサポートします。午前中からの受け入れ体制を整え、スモールステップで成功体験を積み重ねることで、安定した日常生活を送るための基盤を形成します。</w:t>
            </w:r>
          </w:p>
        </w:tc>
      </w:tr>
      <w:tr w:rsidR="00B329B1" w14:paraId="626F15B4"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FC479D" w14:textId="77777777" w:rsidR="00B329B1" w:rsidRDefault="00000000">
            <w:r>
              <w:rPr>
                <w:sz w:val="18"/>
                <w:szCs w:val="18"/>
              </w:rPr>
              <w:t>運動・感覚</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54207D" w14:textId="77777777" w:rsidR="00B329B1" w:rsidRDefault="00000000">
            <w:r>
              <w:rPr>
                <w:sz w:val="18"/>
                <w:szCs w:val="18"/>
              </w:rPr>
              <w:t>発達段階や行動特性の丁寧な観察に基づくアセスメントを実施し、一人ひとりの感覚特性や身体機能に応じた遊びや運動のプログラムを提供します。これにより、身体の協調性や感覚統合を促します。</w:t>
            </w:r>
          </w:p>
        </w:tc>
      </w:tr>
      <w:tr w:rsidR="00B329B1" w14:paraId="1B33607D"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A0805E" w14:textId="77777777" w:rsidR="00B329B1" w:rsidRDefault="00000000">
            <w:r>
              <w:rPr>
                <w:sz w:val="18"/>
                <w:szCs w:val="18"/>
              </w:rPr>
              <w:t>認知・行動</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697827" w14:textId="77777777" w:rsidR="00B329B1" w:rsidRDefault="00000000">
            <w:r>
              <w:rPr>
                <w:sz w:val="18"/>
                <w:szCs w:val="18"/>
              </w:rPr>
              <w:t>個々のペースに合わせた学習支援を行い、基礎学力の定着と学習意欲の維持・向上を図ります。特にディスレクシア（読字障害）等の学習障害に対する専門的なアセスメントに基づき、文字理解や音韻意識の育成を通じた読み書きの基礎スキル支援を段階的に実施します。</w:t>
            </w:r>
          </w:p>
        </w:tc>
      </w:tr>
      <w:tr w:rsidR="00B329B1" w14:paraId="65133A78"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09599A" w14:textId="77777777" w:rsidR="00B329B1" w:rsidRDefault="00000000">
            <w:r>
              <w:rPr>
                <w:sz w:val="18"/>
                <w:szCs w:val="18"/>
              </w:rPr>
              <w:t>言語・コミュニケーション</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BF39A6" w14:textId="77777777" w:rsidR="00B329B1" w:rsidRDefault="00000000">
            <w:r>
              <w:rPr>
                <w:sz w:val="18"/>
                <w:szCs w:val="18"/>
              </w:rPr>
              <w:t>発語の遅れに対する専門的なアセスメントと個別指導を行います。発語や語彙の獲得を促す関わりを通じて、自分の意思を適切に伝え、相手の意図を理解するためのコミュニケーションの土台づくりを支援します。</w:t>
            </w:r>
          </w:p>
        </w:tc>
      </w:tr>
      <w:tr w:rsidR="00B329B1" w14:paraId="475210C7"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B6EB08" w14:textId="77777777" w:rsidR="00B329B1" w:rsidRDefault="00000000">
            <w:r>
              <w:rPr>
                <w:sz w:val="18"/>
                <w:szCs w:val="18"/>
              </w:rPr>
              <w:t>人間関係・社会性</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6358C9" w14:textId="77777777" w:rsidR="00B329B1" w:rsidRDefault="00000000">
            <w:r>
              <w:rPr>
                <w:sz w:val="18"/>
                <w:szCs w:val="18"/>
              </w:rPr>
              <w:t>対人コミュニケーションに特化した療育として、ソーシャルスキルトレーニング（SST）を実施します。他者との適切な関わり方を学び、社会的自立や復学に向けた人間関係構築のスキルを養います。</w:t>
            </w:r>
          </w:p>
        </w:tc>
      </w:tr>
    </w:tbl>
    <w:p w14:paraId="325A8281" w14:textId="77777777" w:rsidR="00B329B1" w:rsidRDefault="00B329B1"/>
    <w:p w14:paraId="554D4B08" w14:textId="77777777" w:rsidR="00B329B1" w:rsidRPr="00B656AE" w:rsidRDefault="00000000">
      <w:pPr>
        <w:pStyle w:val="2"/>
      </w:pPr>
      <w:r>
        <w:t xml:space="preserve">2.2. </w:t>
      </w:r>
      <w:r w:rsidRPr="00B656AE">
        <w:t>児童発達支援（未就学児）　本人支援（5領域との関連性）</w:t>
      </w:r>
    </w:p>
    <w:p w14:paraId="11444647" w14:textId="77777777" w:rsidR="00B329B1" w:rsidRPr="00B656AE" w:rsidRDefault="00000000">
      <w:r w:rsidRPr="00B656AE">
        <w:rPr>
          <w:sz w:val="18"/>
          <w:szCs w:val="18"/>
        </w:rPr>
        <w:t>当事業所では、児童発達支援のガイドラインに基づき、未就学児（主に就学前の幼児）を対象とした以下の5領域を網羅した包括的な支援を提供します。</w:t>
      </w:r>
    </w:p>
    <w:p w14:paraId="0348D981" w14:textId="77777777" w:rsidR="00B329B1" w:rsidRPr="00B656AE" w:rsidRDefault="00B329B1"/>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638"/>
      </w:tblGrid>
      <w:tr w:rsidR="00B329B1" w:rsidRPr="00B656AE" w14:paraId="0F12ABB3" w14:textId="77777777">
        <w:tc>
          <w:tcPr>
            <w:tcW w:w="20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1CCCD6D3" w14:textId="77777777" w:rsidR="00B329B1" w:rsidRPr="00B656AE" w:rsidRDefault="00000000">
            <w:r w:rsidRPr="00B656AE">
              <w:rPr>
                <w:b/>
                <w:bCs/>
                <w:sz w:val="18"/>
                <w:szCs w:val="18"/>
              </w:rPr>
              <w:t>領域</w:t>
            </w:r>
          </w:p>
        </w:tc>
        <w:tc>
          <w:tcPr>
            <w:tcW w:w="763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795A0F87" w14:textId="77777777" w:rsidR="00B329B1" w:rsidRPr="00B656AE" w:rsidRDefault="00000000">
            <w:r w:rsidRPr="00B656AE">
              <w:rPr>
                <w:b/>
                <w:bCs/>
                <w:sz w:val="18"/>
                <w:szCs w:val="18"/>
              </w:rPr>
              <w:t>支援内容</w:t>
            </w:r>
          </w:p>
        </w:tc>
      </w:tr>
      <w:tr w:rsidR="00B329B1" w:rsidRPr="00B656AE" w14:paraId="49BC9DD4"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51BD07" w14:textId="77777777" w:rsidR="00B329B1" w:rsidRPr="00B656AE" w:rsidRDefault="00000000">
            <w:r w:rsidRPr="00B656AE">
              <w:rPr>
                <w:sz w:val="18"/>
                <w:szCs w:val="18"/>
              </w:rPr>
              <w:lastRenderedPageBreak/>
              <w:t>健康・生活</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CDAEEE" w14:textId="77777777" w:rsidR="00B329B1" w:rsidRPr="00B656AE" w:rsidRDefault="00000000">
            <w:r w:rsidRPr="00B656AE">
              <w:rPr>
                <w:sz w:val="18"/>
                <w:szCs w:val="18"/>
              </w:rPr>
              <w:t>基本的な生活習慣（排泄・食事・着脱等）の自立に向けた支援を行います。安心できる環境の中でルーティンを大切にしながら、健康な身体づくりと規則正しい生活リズムの形成をサポートします。</w:t>
            </w:r>
          </w:p>
        </w:tc>
      </w:tr>
      <w:tr w:rsidR="00B329B1" w:rsidRPr="00B656AE" w14:paraId="7C98FA0D"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FF9EC9" w14:textId="77777777" w:rsidR="00B329B1" w:rsidRPr="00B656AE" w:rsidRDefault="00000000">
            <w:r w:rsidRPr="00B656AE">
              <w:rPr>
                <w:sz w:val="18"/>
                <w:szCs w:val="18"/>
              </w:rPr>
              <w:t>運動・感覚</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7B7DE1" w14:textId="77777777" w:rsidR="00B329B1" w:rsidRPr="00B656AE" w:rsidRDefault="00000000">
            <w:r w:rsidRPr="00B656AE">
              <w:rPr>
                <w:sz w:val="18"/>
                <w:szCs w:val="18"/>
              </w:rPr>
              <w:t>リトミックや身体遊びを通じて、粗大運動・微細運動の発達を促します。感覚統合の視点から一人ひとりの感覚特性を丁寧に把握し、遊びの中で身体を動かす楽しさを育みます。</w:t>
            </w:r>
          </w:p>
        </w:tc>
      </w:tr>
      <w:tr w:rsidR="00B329B1" w:rsidRPr="00B656AE" w14:paraId="29D66EF2"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3BDB259" w14:textId="77777777" w:rsidR="00B329B1" w:rsidRPr="00B656AE" w:rsidRDefault="00000000">
            <w:r w:rsidRPr="00B656AE">
              <w:rPr>
                <w:sz w:val="18"/>
                <w:szCs w:val="18"/>
              </w:rPr>
              <w:t>認知・行動</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6FA9EA" w14:textId="77777777" w:rsidR="00B329B1" w:rsidRPr="00B656AE" w:rsidRDefault="00000000">
            <w:r w:rsidRPr="00B656AE">
              <w:rPr>
                <w:sz w:val="18"/>
                <w:szCs w:val="18"/>
              </w:rPr>
              <w:t>遊びや絵カード・教具を活用した活動を通じて、概念理解や注意・記憶・模倣といった認知の基礎を育てます。就学に向けた文字・数への興味関心を引き出す支援も行います。</w:t>
            </w:r>
          </w:p>
        </w:tc>
      </w:tr>
      <w:tr w:rsidR="00B329B1" w:rsidRPr="00B656AE" w14:paraId="46DC2AC5"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6AF3FC" w14:textId="77777777" w:rsidR="00B329B1" w:rsidRPr="00B656AE" w:rsidRDefault="00000000">
            <w:r w:rsidRPr="00B656AE">
              <w:rPr>
                <w:sz w:val="18"/>
                <w:szCs w:val="18"/>
              </w:rPr>
              <w:t>言語・コミュニケーション</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1EDB9E" w14:textId="77777777" w:rsidR="00B329B1" w:rsidRPr="00B656AE" w:rsidRDefault="00000000">
            <w:r w:rsidRPr="00B656AE">
              <w:rPr>
                <w:sz w:val="18"/>
                <w:szCs w:val="18"/>
              </w:rPr>
              <w:t>発語前のコミュニケーション段階から、語彙の拡大・二語文・三語文の表出まで、個々の発達段階に応じた言語支援を行います。絵本・歌・手遊びなど豊かな言語環境を通じて、言葉の力を育てます。</w:t>
            </w:r>
          </w:p>
        </w:tc>
      </w:tr>
      <w:tr w:rsidR="00B329B1" w:rsidRPr="00B656AE" w14:paraId="5014943D" w14:textId="77777777">
        <w:tc>
          <w:tcPr>
            <w:tcW w:w="2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61907A" w14:textId="77777777" w:rsidR="00B329B1" w:rsidRPr="00B656AE" w:rsidRDefault="00000000">
            <w:r w:rsidRPr="00B656AE">
              <w:rPr>
                <w:sz w:val="18"/>
                <w:szCs w:val="18"/>
              </w:rPr>
              <w:t>人間関係・社会性</w:t>
            </w:r>
          </w:p>
        </w:tc>
        <w:tc>
          <w:tcPr>
            <w:tcW w:w="763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F041AE" w14:textId="77777777" w:rsidR="00B329B1" w:rsidRPr="00B656AE" w:rsidRDefault="00000000">
            <w:r w:rsidRPr="00B656AE">
              <w:rPr>
                <w:sz w:val="18"/>
                <w:szCs w:val="18"/>
              </w:rPr>
              <w:t>小集団活動を通じて、順番を待つ・一緒に遊ぶ・気持ちを伝えるといった社会的スキルの基礎を育みます。友達や大人との関わりの中で、安心して自己表現できる力を育てます。</w:t>
            </w:r>
          </w:p>
        </w:tc>
      </w:tr>
    </w:tbl>
    <w:p w14:paraId="4087D4CE" w14:textId="77777777" w:rsidR="00B329B1" w:rsidRPr="00B656AE" w:rsidRDefault="00B329B1"/>
    <w:p w14:paraId="35FBCB36" w14:textId="77777777" w:rsidR="00B329B1" w:rsidRPr="00BC5686" w:rsidRDefault="00000000">
      <w:pPr>
        <w:pStyle w:val="2"/>
      </w:pPr>
      <w:r w:rsidRPr="00BC5686">
        <w:t>2.3. 家族支援</w:t>
      </w:r>
    </w:p>
    <w:p w14:paraId="17AFB16F" w14:textId="22A1DBFC" w:rsidR="00B329B1" w:rsidRPr="00BC5686" w:rsidRDefault="00000000">
      <w:pPr>
        <w:ind w:left="200"/>
      </w:pPr>
      <w:r w:rsidRPr="00BC5686">
        <w:rPr>
          <w:sz w:val="18"/>
          <w:szCs w:val="18"/>
        </w:rPr>
        <w:t>● 保護者とのパートナーシップ構築： 保護者様からの</w:t>
      </w:r>
      <w:r w:rsidR="00EF69CE" w:rsidRPr="00BC5686">
        <w:rPr>
          <w:rFonts w:hint="eastAsia"/>
          <w:sz w:val="18"/>
          <w:szCs w:val="18"/>
        </w:rPr>
        <w:t>「入園、就学前に集団生活に適応できるように、基本的生活習慣に自立や学習の支援をしてほしい」</w:t>
      </w:r>
      <w:r w:rsidRPr="00BC5686">
        <w:rPr>
          <w:sz w:val="18"/>
          <w:szCs w:val="18"/>
        </w:rPr>
        <w:t>「小学生、中学生の引きこもりに対応して欲しい」「学習、生活面、対人とのコミュニケーションに特化した療育を受けたい」といった切実な要望に応え、定期的な面談や相談を通じて保護者の不安に寄り添います。</w:t>
      </w:r>
    </w:p>
    <w:p w14:paraId="4A36A87F" w14:textId="77777777" w:rsidR="00B329B1" w:rsidRPr="00BC5686" w:rsidRDefault="00000000">
      <w:pPr>
        <w:ind w:left="200"/>
      </w:pPr>
      <w:r w:rsidRPr="00BC5686">
        <w:rPr>
          <w:sz w:val="18"/>
          <w:szCs w:val="18"/>
        </w:rPr>
        <w:t>● 医療・療育の橋渡し： 「クリニックへ行き診断名だけが告げられて、その先の治療改善策を取り入れている所が少ない」という声に応え、医療機関の診断と具体的な療育をつなぐサポートを行い、家庭での関わり方について専門的な助言を提供します。</w:t>
      </w:r>
    </w:p>
    <w:p w14:paraId="2DEADA51" w14:textId="77777777" w:rsidR="00B329B1" w:rsidRPr="00BC5686" w:rsidRDefault="00B329B1"/>
    <w:p w14:paraId="25C62886" w14:textId="77777777" w:rsidR="00B329B1" w:rsidRPr="00BC5686" w:rsidRDefault="00000000">
      <w:pPr>
        <w:pStyle w:val="2"/>
      </w:pPr>
      <w:r w:rsidRPr="00BC5686">
        <w:t>2.4. 移行支援</w:t>
      </w:r>
    </w:p>
    <w:p w14:paraId="3E0D6104" w14:textId="77777777" w:rsidR="00B329B1" w:rsidRPr="00BC5686" w:rsidRDefault="00000000">
      <w:pPr>
        <w:ind w:left="200"/>
      </w:pPr>
      <w:r w:rsidRPr="00BC5686">
        <w:rPr>
          <w:sz w:val="18"/>
          <w:szCs w:val="18"/>
        </w:rPr>
        <w:t>● 復学に向けたサポート： 「学校は精神面でいけないが、勉強はしたい。最終的には通学ができるようにしたい」というニーズに対し、学習支援と心理的サポートを両輪とし、スモールステップでの復学に向けた準備を支援します。</w:t>
      </w:r>
    </w:p>
    <w:p w14:paraId="224FA31B" w14:textId="77777777" w:rsidR="00B329B1" w:rsidRPr="00BC5686" w:rsidRDefault="00000000">
      <w:pPr>
        <w:ind w:left="200"/>
      </w:pPr>
      <w:r w:rsidRPr="00BC5686">
        <w:rPr>
          <w:sz w:val="18"/>
          <w:szCs w:val="18"/>
        </w:rPr>
        <w:t>● 社会的自立への移行： 将来の就労や地域社会での生活を見据え、個々の特性に合わせた社会的スキルの獲得を促し、スムーズなライフステージの移行をサポートします。</w:t>
      </w:r>
    </w:p>
    <w:p w14:paraId="643115AD" w14:textId="77777777" w:rsidR="00B329B1" w:rsidRPr="00BC5686" w:rsidRDefault="00B329B1"/>
    <w:p w14:paraId="4A198A01" w14:textId="77777777" w:rsidR="00B329B1" w:rsidRPr="00BC5686" w:rsidRDefault="00000000">
      <w:pPr>
        <w:pStyle w:val="2"/>
      </w:pPr>
      <w:r w:rsidRPr="00BC5686">
        <w:t>2.5. 地域支援・地域連携</w:t>
      </w:r>
    </w:p>
    <w:p w14:paraId="50D02161" w14:textId="77777777" w:rsidR="00B329B1" w:rsidRPr="00BC5686" w:rsidRDefault="00000000">
      <w:pPr>
        <w:ind w:left="200"/>
      </w:pPr>
      <w:r w:rsidRPr="00BC5686">
        <w:rPr>
          <w:sz w:val="18"/>
          <w:szCs w:val="18"/>
        </w:rPr>
        <w:t>● 医療機関との連携強化： 近隣の医療機関と連携を図り、診断から療育までを一貫してサポートする「受け皿」としての機能を果たします。</w:t>
      </w:r>
    </w:p>
    <w:p w14:paraId="5B9D57FC" w14:textId="77777777" w:rsidR="00B329B1" w:rsidRPr="00BC5686" w:rsidRDefault="00000000">
      <w:pPr>
        <w:ind w:left="200"/>
      </w:pPr>
      <w:r w:rsidRPr="00BC5686">
        <w:rPr>
          <w:sz w:val="18"/>
          <w:szCs w:val="18"/>
        </w:rPr>
        <w:t>● 情報交換とプログラム反映： 保護者の同意のもと、医療機関と定期的な情報交換を行い、児童精神科や心療内科等の医療的見地からの助言を療育プログラムに反映させ、より効果的な支援を実現します。</w:t>
      </w:r>
    </w:p>
    <w:p w14:paraId="3E453EE8" w14:textId="77777777" w:rsidR="00B329B1" w:rsidRPr="00BC5686" w:rsidRDefault="00B329B1"/>
    <w:p w14:paraId="018B1464" w14:textId="77777777" w:rsidR="00B329B1" w:rsidRPr="00BC5686" w:rsidRDefault="00000000">
      <w:pPr>
        <w:pStyle w:val="1"/>
      </w:pPr>
      <w:r w:rsidRPr="00BC5686">
        <w:t>3. 職員の質の向上・その他の取組</w:t>
      </w:r>
    </w:p>
    <w:p w14:paraId="4F99E617" w14:textId="77777777" w:rsidR="00B329B1" w:rsidRPr="00BC5686" w:rsidRDefault="00000000">
      <w:pPr>
        <w:pStyle w:val="2"/>
      </w:pPr>
      <w:r w:rsidRPr="00BC5686">
        <w:t>3.1. 職員の質の向上</w:t>
      </w:r>
    </w:p>
    <w:p w14:paraId="5E1CEF2D" w14:textId="77777777" w:rsidR="00B329B1" w:rsidRPr="00BC5686" w:rsidRDefault="00000000">
      <w:pPr>
        <w:ind w:left="200"/>
      </w:pPr>
      <w:r w:rsidRPr="00BC5686">
        <w:rPr>
          <w:sz w:val="18"/>
          <w:szCs w:val="18"/>
        </w:rPr>
        <w:t>● 専門的実施加算人員の配置： 障害児通所事業等に5年以上従事した経験豊富な職員を配置し、高度なアセスメント能力に基づく専門的な個別対応を実施します。</w:t>
      </w:r>
    </w:p>
    <w:p w14:paraId="17106917" w14:textId="2A7173AB" w:rsidR="00B329B1" w:rsidRPr="00BC5686" w:rsidRDefault="00000000">
      <w:pPr>
        <w:ind w:left="200"/>
      </w:pPr>
      <w:r w:rsidRPr="00BC5686">
        <w:rPr>
          <w:sz w:val="18"/>
          <w:szCs w:val="18"/>
        </w:rPr>
        <w:t>● 多職種連携と研修： 児童発達支援管理責任者や</w:t>
      </w:r>
      <w:r w:rsidR="00CA32EF" w:rsidRPr="00BC5686">
        <w:rPr>
          <w:rFonts w:hint="eastAsia"/>
          <w:sz w:val="18"/>
          <w:szCs w:val="18"/>
        </w:rPr>
        <w:t>言語聴覚士・</w:t>
      </w:r>
      <w:r w:rsidRPr="00BC5686">
        <w:rPr>
          <w:sz w:val="18"/>
          <w:szCs w:val="18"/>
        </w:rPr>
        <w:t>保育士によるチームアプローチを実践し、定期的な事例検討や研修を通じて、職員全体の専門知識と支援技術の向上を図ります。</w:t>
      </w:r>
    </w:p>
    <w:p w14:paraId="6B9C65BA" w14:textId="77777777" w:rsidR="00B329B1" w:rsidRPr="00BC5686" w:rsidRDefault="00B329B1"/>
    <w:p w14:paraId="69F7909F" w14:textId="77777777" w:rsidR="00B329B1" w:rsidRPr="00BC5686" w:rsidRDefault="00000000">
      <w:pPr>
        <w:pStyle w:val="2"/>
      </w:pPr>
      <w:r w:rsidRPr="00BC5686">
        <w:t>3.2. 主な行事等</w:t>
      </w:r>
    </w:p>
    <w:p w14:paraId="59740DEF" w14:textId="77777777" w:rsidR="00B329B1" w:rsidRDefault="00000000">
      <w:pPr>
        <w:ind w:left="200"/>
      </w:pPr>
      <w:r w:rsidRPr="00BC5686">
        <w:rPr>
          <w:sz w:val="18"/>
          <w:szCs w:val="18"/>
        </w:rPr>
        <w:t>● 利用者の長期休暇（夏季、年末年始等）に合わせた特別プログラムの実施や、地域社会との交流を促進する季節</w:t>
      </w:r>
      <w:r>
        <w:rPr>
          <w:sz w:val="18"/>
          <w:szCs w:val="18"/>
        </w:rPr>
        <w:t>の行事を企画し、集団での成功体験や社会性育成の場を提供します。</w:t>
      </w:r>
    </w:p>
    <w:sectPr w:rsidR="00B329B1">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B7C53" w14:textId="77777777" w:rsidR="00601A41" w:rsidRDefault="00601A41" w:rsidP="00B656AE">
      <w:r>
        <w:separator/>
      </w:r>
    </w:p>
  </w:endnote>
  <w:endnote w:type="continuationSeparator" w:id="0">
    <w:p w14:paraId="0ACE46C7" w14:textId="77777777" w:rsidR="00601A41" w:rsidRDefault="00601A41" w:rsidP="00B6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7D74" w14:textId="77777777" w:rsidR="00601A41" w:rsidRDefault="00601A41" w:rsidP="00B656AE">
      <w:r>
        <w:separator/>
      </w:r>
    </w:p>
  </w:footnote>
  <w:footnote w:type="continuationSeparator" w:id="0">
    <w:p w14:paraId="2863DC18" w14:textId="77777777" w:rsidR="00601A41" w:rsidRDefault="00601A41" w:rsidP="00B65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449FA"/>
    <w:multiLevelType w:val="hybridMultilevel"/>
    <w:tmpl w:val="232A792C"/>
    <w:lvl w:ilvl="0" w:tplc="338249B8">
      <w:start w:val="1"/>
      <w:numFmt w:val="bullet"/>
      <w:lvlText w:val="●"/>
      <w:lvlJc w:val="left"/>
      <w:pPr>
        <w:ind w:left="720" w:hanging="360"/>
      </w:pPr>
    </w:lvl>
    <w:lvl w:ilvl="1" w:tplc="89528EA8">
      <w:start w:val="1"/>
      <w:numFmt w:val="bullet"/>
      <w:lvlText w:val="○"/>
      <w:lvlJc w:val="left"/>
      <w:pPr>
        <w:ind w:left="1440" w:hanging="360"/>
      </w:pPr>
    </w:lvl>
    <w:lvl w:ilvl="2" w:tplc="33BE7EBE">
      <w:start w:val="1"/>
      <w:numFmt w:val="bullet"/>
      <w:lvlText w:val="■"/>
      <w:lvlJc w:val="left"/>
      <w:pPr>
        <w:ind w:left="2160" w:hanging="360"/>
      </w:pPr>
    </w:lvl>
    <w:lvl w:ilvl="3" w:tplc="A9DABD38">
      <w:start w:val="1"/>
      <w:numFmt w:val="bullet"/>
      <w:lvlText w:val="●"/>
      <w:lvlJc w:val="left"/>
      <w:pPr>
        <w:ind w:left="2880" w:hanging="360"/>
      </w:pPr>
    </w:lvl>
    <w:lvl w:ilvl="4" w:tplc="958C84FE">
      <w:start w:val="1"/>
      <w:numFmt w:val="bullet"/>
      <w:lvlText w:val="○"/>
      <w:lvlJc w:val="left"/>
      <w:pPr>
        <w:ind w:left="3600" w:hanging="360"/>
      </w:pPr>
    </w:lvl>
    <w:lvl w:ilvl="5" w:tplc="68CA9932">
      <w:start w:val="1"/>
      <w:numFmt w:val="bullet"/>
      <w:lvlText w:val="■"/>
      <w:lvlJc w:val="left"/>
      <w:pPr>
        <w:ind w:left="4320" w:hanging="360"/>
      </w:pPr>
    </w:lvl>
    <w:lvl w:ilvl="6" w:tplc="8FF636A2">
      <w:start w:val="1"/>
      <w:numFmt w:val="bullet"/>
      <w:lvlText w:val="●"/>
      <w:lvlJc w:val="left"/>
      <w:pPr>
        <w:ind w:left="5040" w:hanging="360"/>
      </w:pPr>
    </w:lvl>
    <w:lvl w:ilvl="7" w:tplc="71149BAE">
      <w:start w:val="1"/>
      <w:numFmt w:val="bullet"/>
      <w:lvlText w:val="●"/>
      <w:lvlJc w:val="left"/>
      <w:pPr>
        <w:ind w:left="5760" w:hanging="360"/>
      </w:pPr>
    </w:lvl>
    <w:lvl w:ilvl="8" w:tplc="ED2E8A22">
      <w:start w:val="1"/>
      <w:numFmt w:val="bullet"/>
      <w:lvlText w:val="●"/>
      <w:lvlJc w:val="left"/>
      <w:pPr>
        <w:ind w:left="6480" w:hanging="360"/>
      </w:pPr>
    </w:lvl>
  </w:abstractNum>
  <w:num w:numId="1" w16cid:durableId="682974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B1"/>
    <w:rsid w:val="00185ACC"/>
    <w:rsid w:val="001F3B9D"/>
    <w:rsid w:val="00544FE4"/>
    <w:rsid w:val="00601A41"/>
    <w:rsid w:val="00910307"/>
    <w:rsid w:val="00AF21C9"/>
    <w:rsid w:val="00B00DF8"/>
    <w:rsid w:val="00B329B1"/>
    <w:rsid w:val="00B656AE"/>
    <w:rsid w:val="00BC5686"/>
    <w:rsid w:val="00CA32EF"/>
    <w:rsid w:val="00CB7224"/>
    <w:rsid w:val="00EF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6B5DD"/>
  <w15:docId w15:val="{EECB14B4-4D6B-4279-9880-6D26C9E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pBdr>
        <w:bottom w:val="single" w:sz="6" w:space="1" w:color="000000"/>
      </w:pBdr>
      <w:spacing w:before="240" w:after="120"/>
      <w:outlineLvl w:val="0"/>
    </w:pPr>
    <w:rPr>
      <w:b/>
      <w:bCs/>
      <w:color w:val="000000"/>
      <w:sz w:val="28"/>
      <w:szCs w:val="28"/>
    </w:rPr>
  </w:style>
  <w:style w:type="paragraph" w:styleId="2">
    <w:name w:val="heading 2"/>
    <w:uiPriority w:val="9"/>
    <w:unhideWhenUsed/>
    <w:qFormat/>
    <w:pPr>
      <w:spacing w:before="200" w:after="80"/>
      <w:outlineLvl w:val="1"/>
    </w:pPr>
    <w:rPr>
      <w:b/>
      <w:bCs/>
      <w:color w:val="000000"/>
      <w:sz w:val="24"/>
      <w:szCs w:val="24"/>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B656AE"/>
    <w:pPr>
      <w:tabs>
        <w:tab w:val="center" w:pos="4252"/>
        <w:tab w:val="right" w:pos="8504"/>
      </w:tabs>
      <w:snapToGrid w:val="0"/>
    </w:pPr>
  </w:style>
  <w:style w:type="character" w:customStyle="1" w:styleId="ad">
    <w:name w:val="ヘッダー (文字)"/>
    <w:basedOn w:val="a0"/>
    <w:link w:val="ac"/>
    <w:uiPriority w:val="99"/>
    <w:rsid w:val="00B656AE"/>
  </w:style>
  <w:style w:type="paragraph" w:styleId="ae">
    <w:name w:val="footer"/>
    <w:basedOn w:val="a"/>
    <w:link w:val="af"/>
    <w:uiPriority w:val="99"/>
    <w:unhideWhenUsed/>
    <w:rsid w:val="00B656AE"/>
    <w:pPr>
      <w:tabs>
        <w:tab w:val="center" w:pos="4252"/>
        <w:tab w:val="right" w:pos="8504"/>
      </w:tabs>
      <w:snapToGrid w:val="0"/>
    </w:pPr>
  </w:style>
  <w:style w:type="character" w:customStyle="1" w:styleId="af">
    <w:name w:val="フッター (文字)"/>
    <w:basedOn w:val="a0"/>
    <w:link w:val="ae"/>
    <w:uiPriority w:val="99"/>
    <w:rsid w:val="00B6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002 株式会社TNC</cp:lastModifiedBy>
  <cp:revision>6</cp:revision>
  <dcterms:created xsi:type="dcterms:W3CDTF">2026-06-09T02:15:00Z</dcterms:created>
  <dcterms:modified xsi:type="dcterms:W3CDTF">2026-06-09T07:29:00Z</dcterms:modified>
</cp:coreProperties>
</file>